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927" w:rsidRDefault="00AD2927" w:rsidP="00F54CEC">
      <w:pPr>
        <w:spacing w:before="120" w:after="120" w:line="240" w:lineRule="auto"/>
        <w:ind w:left="-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>
        <w:rPr>
          <w:noProof/>
          <w:lang w:eastAsia="bg-BG"/>
        </w:rPr>
        <w:drawing>
          <wp:inline distT="0" distB="0" distL="0" distR="0" wp14:anchorId="26E069E8" wp14:editId="0A4BB9D5">
            <wp:extent cx="5760720" cy="1351563"/>
            <wp:effectExtent l="0" t="0" r="0" b="1270"/>
            <wp:docPr id="1" name="Картина 1" descr="go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re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51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CEC" w:rsidRPr="00F54CEC" w:rsidRDefault="00F54CEC" w:rsidP="00F54CEC">
      <w:pPr>
        <w:spacing w:before="120" w:after="120" w:line="240" w:lineRule="auto"/>
        <w:ind w:left="-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ФОРМУЛЯР ЗА МОНИТОРИНГ</w:t>
      </w:r>
    </w:p>
    <w:p w:rsidR="00F54CEC" w:rsidRPr="00F54CEC" w:rsidRDefault="00F54CEC" w:rsidP="00F54CEC">
      <w:pPr>
        <w:spacing w:before="120" w:after="12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по </w:t>
      </w:r>
      <w:proofErr w:type="spellStart"/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подмярка</w:t>
      </w:r>
      <w:proofErr w:type="spellEnd"/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19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.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„Прилагане на операции в рамките на стратегии за ВОМР“</w:t>
      </w:r>
    </w:p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1. За коя от изброените области проектът допринася в най-голяма степен?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Моля, отбележете само една област с поставен акцент</w:t>
      </w:r>
      <w:bookmarkStart w:id="0" w:name="_GoBack"/>
      <w:bookmarkEnd w:id="0"/>
    </w:p>
    <w:tbl>
      <w:tblPr>
        <w:tblW w:w="10542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470"/>
        <w:gridCol w:w="9409"/>
        <w:gridCol w:w="663"/>
      </w:tblGrid>
      <w:tr w:rsidR="00F54CEC" w:rsidRPr="00F54CEC" w:rsidTr="00F54CEC">
        <w:tc>
          <w:tcPr>
            <w:tcW w:w="1054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F54CEC" w:rsidRPr="00F54CEC" w:rsidRDefault="00F54CEC" w:rsidP="00F54CEC">
            <w:pPr>
              <w:tabs>
                <w:tab w:val="left" w:pos="8235"/>
              </w:tabs>
              <w:spacing w:before="120" w:after="120" w:line="240" w:lineRule="auto"/>
              <w:ind w:right="-588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  <w:t xml:space="preserve">Области с поставен акцент (за които в най-голяма степен допринасят проектите) </w:t>
            </w:r>
            <w:r>
              <w:rPr>
                <w:rFonts w:ascii="Verdana" w:eastAsia="Times New Roman" w:hAnsi="Verdana" w:cs="Times New Roman"/>
                <w:color w:val="000000"/>
                <w:sz w:val="18"/>
                <w:szCs w:val="18"/>
                <w:highlight w:val="lightGray"/>
                <w:lang w:eastAsia="bg-BG"/>
              </w:rPr>
              <w:tab/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междубраншови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организации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биоикономиката</w:t>
            </w:r>
            <w:proofErr w:type="spellEnd"/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5E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6A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разнообразяването, създаването и развитието на малки предприятия, както и разкриването на работни места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6B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местното развитие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6C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достъпа до информационни и комуникационни технологии (ИКТ), използването и качеството им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FA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Друга област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. Какъв е видът на кандидата?</w:t>
      </w:r>
    </w:p>
    <w:tbl>
      <w:tblPr>
        <w:tblW w:w="9975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9210"/>
        <w:gridCol w:w="765"/>
      </w:tblGrid>
      <w:tr w:rsidR="00F54CEC" w:rsidRPr="00F54CEC" w:rsidTr="00F54CEC">
        <w:tc>
          <w:tcPr>
            <w:tcW w:w="99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Вид на кандидата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МИГ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НПО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ind w:right="-129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Публичен орган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Малко или средно предприятие 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Микропредприятие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</w:t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(моля, отбележете и юридическата форма)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Физическо лице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ЕТ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Лице, регистрирано по ТЗ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F54CEC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Друго (моля, отбележете, ако е приложимо)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3. Планира ли се създаване на работни места в резултат от изпълнението на проекта?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При отговор ДА, моля, попълнете таблицата, като имате предвид следното: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1. Отчитат се данните само за новосъздадени работни места;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br/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tbl>
      <w:tblPr>
        <w:tblW w:w="10204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8038"/>
        <w:gridCol w:w="1091"/>
        <w:gridCol w:w="1075"/>
      </w:tblGrid>
      <w:tr w:rsidR="00F54CEC" w:rsidRPr="00F54CEC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работни места</w:t>
            </w:r>
          </w:p>
        </w:tc>
      </w:tr>
      <w:tr w:rsidR="00F54CEC" w:rsidRPr="00F54CEC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4CEC" w:rsidRPr="00F54CEC" w:rsidRDefault="00F54CEC" w:rsidP="00F54CE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мъже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жени</w:t>
            </w:r>
          </w:p>
        </w:tc>
      </w:tr>
      <w:tr w:rsidR="00F54CEC" w:rsidRP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54CEC" w:rsidRPr="00F54CEC" w:rsidRDefault="00F54CEC" w:rsidP="00B740ED">
      <w:pPr>
        <w:spacing w:before="120" w:after="12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4. Какъв е броят на жителите, които ще се ползват от подобрени услуги/инфраструктура в резултат от изпълнението на проекта?</w:t>
      </w: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  <w:r w:rsidRPr="00F54CEC">
        <w:rPr>
          <w:rFonts w:ascii="Verdana" w:eastAsia="Times New Roman" w:hAnsi="Verdana" w:cs="Times New Roman"/>
          <w:i/>
          <w:color w:val="000000"/>
          <w:sz w:val="18"/>
          <w:szCs w:val="18"/>
          <w:lang w:eastAsia="bg-BG"/>
        </w:rPr>
        <w:t>(Когато е приложимо)</w:t>
      </w:r>
    </w:p>
    <w:tbl>
      <w:tblPr>
        <w:tblW w:w="9659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8982"/>
        <w:gridCol w:w="677"/>
      </w:tblGrid>
      <w:tr w:rsidR="00F54CEC" w:rsidRPr="00F54CEC" w:rsidTr="00F54CEC">
        <w:trPr>
          <w:trHeight w:val="919"/>
        </w:trPr>
        <w:tc>
          <w:tcPr>
            <w:tcW w:w="898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Показател</w:t>
            </w:r>
          </w:p>
        </w:tc>
        <w:tc>
          <w:tcPr>
            <w:tcW w:w="6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</w:t>
            </w:r>
          </w:p>
        </w:tc>
      </w:tr>
      <w:tr w:rsidR="00F54CEC" w:rsidRPr="00F54CEC" w:rsidTr="00F54CEC">
        <w:tc>
          <w:tcPr>
            <w:tcW w:w="89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89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Жители, които ще се ползват от подобрени услуги/ инфраструктура, различни от тези, свързани с ИТ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54CEC" w:rsidRPr="00F54CEC" w:rsidRDefault="00F54CEC" w:rsidP="00F54CEC">
      <w:pPr>
        <w:spacing w:before="120" w:after="12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  <w:r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5. Моля, попълнете таблицата на местата, приложими за Вашия проект.</w:t>
      </w:r>
    </w:p>
    <w:tbl>
      <w:tblPr>
        <w:tblW w:w="10570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440"/>
        <w:gridCol w:w="2654"/>
        <w:gridCol w:w="470"/>
        <w:gridCol w:w="2838"/>
        <w:gridCol w:w="2873"/>
        <w:gridCol w:w="1283"/>
        <w:gridCol w:w="12"/>
      </w:tblGrid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Приоритет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Стойност/ количество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всички мерки от стратегията, където е приложимо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Общо публични разходи, лв.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мярката за сътрудничество (</w:t>
            </w:r>
            <w:hyperlink r:id="rId5" w:history="1">
              <w:r w:rsidRPr="00F54CEC">
                <w:rPr>
                  <w:rFonts w:ascii="Verdana" w:eastAsia="Times New Roman" w:hAnsi="Verdana" w:cs="Times New Roman"/>
                  <w:color w:val="000000"/>
                  <w:sz w:val="18"/>
                  <w:szCs w:val="18"/>
                  <w:lang w:eastAsia="bg-BG"/>
                </w:rPr>
                <w:t>член 35 от Регламент (ЕС) № 1305/2013</w:t>
              </w:r>
            </w:hyperlink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, където е приложимо)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Проектът е за сътрудничество по мярката за сътрудничество – </w:t>
            </w:r>
            <w:hyperlink r:id="rId6" w:history="1">
              <w:r w:rsidRPr="00F54CEC">
                <w:rPr>
                  <w:rFonts w:ascii="Verdana" w:eastAsia="Times New Roman" w:hAnsi="Verdana" w:cs="Times New Roman"/>
                  <w:color w:val="000000"/>
                  <w:sz w:val="18"/>
                  <w:szCs w:val="18"/>
                  <w:lang w:eastAsia="bg-BG"/>
                </w:rPr>
                <w:t>член 35 от Регламент (ЕС) № 1305/2013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ДА□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НЕ □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 1.1 и други подобни,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1C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участниците в обучения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2B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  <w:trHeight w:val="610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en-US" w:eastAsia="bg-BG"/>
              </w:rPr>
              <w:t xml:space="preserve">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отношение към животните и управлението на риска в селското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междубраншови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организации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3B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земеделие с висока природна стойност, както и на състоянието на европейските ландшафти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 xml:space="preserve">Обща подпомогната площ (ха)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управлението на водите, включително управлението на торовете и пестицидите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Подобряване управлението на водите, включително управлението на торовете и пестицидите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Повишаване на ефективността при потреблението на вода в селското стопанство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(Отнася се за площта, обхваната от инвестиции за напояване)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5, 6.4, 7.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eastAsia="bg-BG"/>
              </w:rPr>
              <w:t>2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до 7.8, 8.5 и 8.6 и други инвестиционни мерки,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Повишаване на ефективността при потреблението на енергия в селското стопанство и хранително-вкусовата промишленост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 размер на инвестициите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(Сума от всички допустими инвестиционни разходи – публични и частни)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биоикономиката</w:t>
            </w:r>
            <w:proofErr w:type="spellEnd"/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 размер на инвестициите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F54CEC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bg-BG"/>
              </w:rPr>
              <w:t>(Сума от всички допустими инвестиционни разходи – публични и частни)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мярка 4 и други подобни,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Брой на подпомаганите животински единици (ЖЕ)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F54CEC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F54CEC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нисковъглеродна</w:t>
            </w:r>
            <w:proofErr w:type="spellEnd"/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 и устойчива на изменението на климата икономика в селското </w:t>
            </w: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lastRenderedPageBreak/>
              <w:t>5E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 xml:space="preserve">Стимулиране на съхраняването и поглъщането на въглерода в сектора на селското и горското стопанство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Обща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F54CEC" w:rsidRPr="00F54CEC" w:rsidRDefault="00F54CEC" w:rsidP="00F54CEC">
            <w:pPr>
              <w:spacing w:before="120" w:after="12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</w:pPr>
            <w:r w:rsidRPr="00F54CEC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:rsidR="00F14B2A" w:rsidRDefault="00FF5A39">
      <w:r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lastRenderedPageBreak/>
        <w:t xml:space="preserve">Подпис 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на представляващия кандидата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 xml:space="preserve"> и дата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t>: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  <w:r w:rsidR="00F54CEC" w:rsidRPr="00F54CEC"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  <w:br/>
      </w:r>
    </w:p>
    <w:sectPr w:rsidR="00F14B2A" w:rsidSect="00F54CEC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A4"/>
    <w:rsid w:val="00231198"/>
    <w:rsid w:val="007424A4"/>
    <w:rsid w:val="00853A82"/>
    <w:rsid w:val="00AD2927"/>
    <w:rsid w:val="00B73858"/>
    <w:rsid w:val="00B740ED"/>
    <w:rsid w:val="00F14B2A"/>
    <w:rsid w:val="00F54CEC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E5BF"/>
  <w15:chartTrackingRefBased/>
  <w15:docId w15:val="{F75AC87F-31E6-47B4-869A-41FEAF6C4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APEV&amp;Celex=32013R1305&amp;ToPar=Art35&amp;Type=201/" TargetMode="External"/><Relationship Id="rId5" Type="http://schemas.openxmlformats.org/officeDocument/2006/relationships/hyperlink" Target="apis://Base=APEV&amp;Celex=32013R1305&amp;ToPar=Art35&amp;Type=201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1915</Words>
  <Characters>10918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SFA IT</Company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Georgieva Vladova</dc:creator>
  <cp:keywords/>
  <dc:description/>
  <cp:lastModifiedBy>MIG Maritsa</cp:lastModifiedBy>
  <cp:revision>3</cp:revision>
  <dcterms:created xsi:type="dcterms:W3CDTF">2022-03-24T13:03:00Z</dcterms:created>
  <dcterms:modified xsi:type="dcterms:W3CDTF">2022-03-24T13:34:00Z</dcterms:modified>
</cp:coreProperties>
</file>